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17365D" w:themeColor="text2" w:themeShade="BF"/>
  <w:body>
    <w:p w:rsidR="00155B08" w:rsidRDefault="00155B08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82793C">
      <w:r>
        <w:rPr>
          <w:noProof/>
        </w:rPr>
        <w:pict>
          <v:rect id="_x0000_s1035" style="position:absolute;margin-left:-11.25pt;margin-top:3.4pt;width:508.5pt;height:300.8pt;z-index:251660288">
            <v:textbox>
              <w:txbxContent>
                <w:p w:rsid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64031" w:rsidRP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564031" w:rsidRP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40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Preventing Polypharmacy in Older Adults.</w:t>
                  </w:r>
                </w:p>
                <w:p w:rsidR="00564031" w:rsidRP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40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Name:</w:t>
                  </w:r>
                </w:p>
                <w:p w:rsidR="00564031" w:rsidRPr="00564031" w:rsidRDefault="00564031" w:rsidP="00564031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640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Institution:</w:t>
                  </w:r>
                </w:p>
                <w:p w:rsidR="00564031" w:rsidRDefault="00564031" w:rsidP="00564031">
                  <w:pPr>
                    <w:jc w:val="center"/>
                  </w:pPr>
                  <w:r w:rsidRPr="00564031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Date:</w:t>
                  </w:r>
                </w:p>
                <w:p w:rsidR="00564031" w:rsidRDefault="00564031" w:rsidP="00564031">
                  <w:pPr>
                    <w:jc w:val="center"/>
                  </w:pPr>
                </w:p>
                <w:p w:rsidR="00564031" w:rsidRDefault="00564031"/>
              </w:txbxContent>
            </v:textbox>
          </v:rect>
        </w:pict>
      </w:r>
    </w:p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4368F4" w:rsidRDefault="004368F4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564031" w:rsidRDefault="00564031"/>
    <w:p w:rsidR="00D01235" w:rsidRDefault="00D01235"/>
    <w:p w:rsidR="00D01235" w:rsidRDefault="00D01235"/>
    <w:p w:rsidR="00D01235" w:rsidRDefault="00D01235"/>
    <w:p w:rsidR="00D01235" w:rsidRDefault="00D01235"/>
    <w:p w:rsidR="00D01235" w:rsidRDefault="00D01235"/>
    <w:p w:rsidR="00D01235" w:rsidRDefault="00D01235"/>
    <w:p w:rsidR="00D01235" w:rsidRDefault="00D01235"/>
    <w:p w:rsidR="00D01235" w:rsidRDefault="00D01235"/>
    <w:p w:rsidR="00D01235" w:rsidRPr="00D01235" w:rsidRDefault="00D01235">
      <w:pPr>
        <w:rPr>
          <w:rFonts w:ascii="Times New Roman" w:hAnsi="Times New Roman" w:cs="Times New Roman"/>
          <w:color w:val="FFFFFF" w:themeColor="background1"/>
          <w:sz w:val="32"/>
          <w:szCs w:val="32"/>
        </w:rPr>
      </w:pPr>
      <w:r w:rsidRPr="00D01235">
        <w:rPr>
          <w:rFonts w:ascii="Times New Roman" w:hAnsi="Times New Roman" w:cs="Times New Roman"/>
          <w:color w:val="FFFFFF" w:themeColor="background1"/>
          <w:sz w:val="32"/>
          <w:szCs w:val="32"/>
        </w:rPr>
        <w:lastRenderedPageBreak/>
        <w:t>Preventing Polypharmacy in Older Adults.</w:t>
      </w:r>
    </w:p>
    <w:p w:rsidR="00D01235" w:rsidRDefault="00D01235"/>
    <w:p w:rsidR="00B74C6A" w:rsidRDefault="004368F4">
      <w:r w:rsidRPr="004368F4">
        <w:rPr>
          <w:noProof/>
        </w:rPr>
        <w:drawing>
          <wp:inline distT="0" distB="0" distL="0" distR="0">
            <wp:extent cx="1924050" cy="2781300"/>
            <wp:effectExtent l="19050" t="0" r="0" b="0"/>
            <wp:docPr id="7" name="Picture 1" descr="Image result for polypharmacy in older ad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polypharmacy in older adults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2781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68F4" w:rsidRPr="005146FA" w:rsidRDefault="004368F4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darkBlue"/>
        </w:rPr>
        <w:t>Definition:</w:t>
      </w:r>
      <w:r w:rsidRPr="005146F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</w:t>
      </w: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polypharmacy is the method of taking multiple medications concurrently aimed at managing coexisting health problems such as diabetes, hype</w:t>
      </w:r>
      <w:r w:rsidR="003B4176">
        <w:rPr>
          <w:rFonts w:ascii="Times New Roman" w:hAnsi="Times New Roman" w:cs="Times New Roman"/>
          <w:color w:val="FFFFFF" w:themeColor="background1"/>
          <w:sz w:val="28"/>
          <w:szCs w:val="28"/>
        </w:rPr>
        <w:t>rtension and their side effects(Hajjar et al.,2016).</w:t>
      </w:r>
    </w:p>
    <w:p w:rsidR="004368F4" w:rsidRPr="005146FA" w:rsidRDefault="004368F4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ue"/>
        </w:rPr>
        <w:t>Statistics;</w:t>
      </w:r>
      <w:r w:rsidRPr="005146FA">
        <w:rPr>
          <w:rFonts w:ascii="Times New Roman" w:hAnsi="Times New Roman" w:cs="Times New Roman"/>
          <w:b/>
          <w:color w:val="FFFFFF" w:themeColor="background1"/>
          <w:sz w:val="28"/>
          <w:szCs w:val="28"/>
        </w:rPr>
        <w:t xml:space="preserve"> </w:t>
      </w: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Polypharmacy is </w:t>
      </w: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>a common problem among older adults.</w:t>
      </w:r>
    </w:p>
    <w:p w:rsidR="004368F4" w:rsidRPr="005146FA" w:rsidRDefault="004368F4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Approximately 44% of men and 57% of women who are older than 65 years take </w:t>
      </w:r>
      <w:r w:rsidR="003B4176">
        <w:rPr>
          <w:rFonts w:ascii="Times New Roman" w:hAnsi="Times New Roman" w:cs="Times New Roman"/>
          <w:color w:val="FFFFFF" w:themeColor="background1"/>
          <w:sz w:val="28"/>
          <w:szCs w:val="28"/>
        </w:rPr>
        <w:t>five or more medications weekly (Hilmer &amp; Gnjidik., 2016).</w:t>
      </w:r>
    </w:p>
    <w:p w:rsidR="004368F4" w:rsidRPr="005146FA" w:rsidRDefault="004368F4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12% of both men and women aged 65 years and above take 10 or more medications weekly. </w:t>
      </w:r>
    </w:p>
    <w:p w:rsidR="004368F4" w:rsidRPr="005146FA" w:rsidRDefault="004368F4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The most commonly used drugs include aspirin, ibuprofen, and acetamin</w:t>
      </w:r>
      <w:r w:rsidR="003B4176">
        <w:rPr>
          <w:rFonts w:ascii="Times New Roman" w:hAnsi="Times New Roman" w:cs="Times New Roman"/>
          <w:color w:val="FFFFFF" w:themeColor="background1"/>
          <w:sz w:val="28"/>
          <w:szCs w:val="28"/>
        </w:rPr>
        <w:t>ophen (Charlesworth et al., 2015).</w:t>
      </w:r>
    </w:p>
    <w:p w:rsidR="00D01235" w:rsidRPr="00D01235" w:rsidRDefault="004368F4" w:rsidP="00D012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When the elderly are subjected to many prescriptions, they become </w:t>
      </w: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>very prone to the risks of drug reactions and interactions.</w:t>
      </w:r>
    </w:p>
    <w:p w:rsidR="00D01235" w:rsidRDefault="00D01235" w:rsidP="00D01235">
      <w:pPr>
        <w:pStyle w:val="ListParagrap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D01235" w:rsidRDefault="00D01235" w:rsidP="00D01235">
      <w:pPr>
        <w:pStyle w:val="ListParagrap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146FA" w:rsidRPr="005146FA" w:rsidRDefault="00D01235" w:rsidP="00D01235">
      <w:pPr>
        <w:pStyle w:val="ListParagrap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D01235">
        <w:rPr>
          <w:rFonts w:ascii="Times New Roman" w:hAnsi="Times New Roman" w:cs="Times New Roman"/>
          <w:noProof/>
          <w:color w:val="FFFFFF" w:themeColor="background1"/>
          <w:sz w:val="28"/>
          <w:szCs w:val="28"/>
        </w:rPr>
        <w:drawing>
          <wp:inline distT="0" distB="0" distL="0" distR="0">
            <wp:extent cx="2065208" cy="2619375"/>
            <wp:effectExtent l="19050" t="0" r="0" b="0"/>
            <wp:docPr id="9" name="Picture 7" descr="Image result for polypharmacy in older ad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 result for polypharmacy in older adult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208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6FA" w:rsidRPr="005146FA" w:rsidRDefault="005146FA" w:rsidP="005146FA">
      <w:pPr>
        <w:ind w:left="36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darkBlue"/>
        </w:rPr>
        <w:t>Tips for preventive care against the effects of polypharmacy.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Keep an accurate list of all medications. The list should include generic name, brand name, dosage, dosing frequency and reason for taking the drug.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>Provide instruction concerning the potential adverse effects of each medication.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Store the medication in a secure place which is dry and away from sunlight.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Provide a complete list of the medical providers and their contact information.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Educate the patients on dosage, consequences of sharing drugs and the importance of disposing of old medications.</w:t>
      </w:r>
    </w:p>
    <w:p w:rsidR="005146FA" w:rsidRPr="00D41A50" w:rsidRDefault="005146FA" w:rsidP="00D41A50">
      <w:pPr>
        <w:ind w:left="360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D41A50">
        <w:rPr>
          <w:rFonts w:ascii="Times New Roman" w:hAnsi="Times New Roman" w:cs="Times New Roman"/>
          <w:b/>
          <w:color w:val="FFFFFF" w:themeColor="background1"/>
          <w:sz w:val="28"/>
          <w:szCs w:val="28"/>
          <w:highlight w:val="blue"/>
        </w:rPr>
        <w:t>Information that should be availed to family and caregivers.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Inform them of the patient's </w:t>
      </w: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>frequency of dosage.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Avail caregivers' contact information and location.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Emergency and telephone number of a local pharmacy.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Educate them on the proper way to store the patient's drugs.</w:t>
      </w:r>
    </w:p>
    <w:p w:rsidR="005146FA" w:rsidRPr="005146FA" w:rsidRDefault="005146FA" w:rsidP="005146F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Inform </w:t>
      </w:r>
      <w:r w:rsidR="00D01235"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family </w:t>
      </w:r>
      <w:r w:rsidR="00D01235">
        <w:rPr>
          <w:rFonts w:ascii="Times New Roman" w:hAnsi="Times New Roman" w:cs="Times New Roman"/>
          <w:color w:val="FFFFFF" w:themeColor="background1"/>
          <w:sz w:val="28"/>
          <w:szCs w:val="28"/>
        </w:rPr>
        <w:t>members</w:t>
      </w: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 xml:space="preserve"> on the medical condition of the patient.</w:t>
      </w:r>
    </w:p>
    <w:p w:rsidR="005146FA" w:rsidRPr="005146FA" w:rsidRDefault="005146FA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Educate them on emergency steps.</w:t>
      </w:r>
    </w:p>
    <w:p w:rsidR="005146FA" w:rsidRPr="005146FA" w:rsidRDefault="005146FA" w:rsidP="005146F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5146FA">
        <w:rPr>
          <w:rFonts w:ascii="Times New Roman" w:hAnsi="Times New Roman" w:cs="Times New Roman"/>
          <w:color w:val="FFFFFF" w:themeColor="background1"/>
          <w:sz w:val="28"/>
          <w:szCs w:val="28"/>
        </w:rPr>
        <w:t>Inform them of the patient's dietary practices</w:t>
      </w:r>
    </w:p>
    <w:p w:rsidR="003B4176" w:rsidRPr="00564031" w:rsidRDefault="003B4176" w:rsidP="003B4176">
      <w:pPr>
        <w:jc w:val="center"/>
        <w:rPr>
          <w:color w:val="FFFFFF" w:themeColor="background1"/>
        </w:rPr>
      </w:pPr>
    </w:p>
    <w:p w:rsidR="003B4176" w:rsidRPr="00D01235" w:rsidRDefault="003B4176" w:rsidP="003B4176">
      <w:pPr>
        <w:jc w:val="center"/>
        <w:rPr>
          <w:rFonts w:ascii="Times New Roman" w:hAnsi="Times New Roman" w:cs="Times New Roman"/>
          <w:b/>
          <w:color w:val="FFFFFF" w:themeColor="background1"/>
          <w:sz w:val="28"/>
          <w:szCs w:val="28"/>
        </w:rPr>
      </w:pPr>
      <w:r w:rsidRPr="00D01235">
        <w:rPr>
          <w:rFonts w:ascii="Times New Roman" w:hAnsi="Times New Roman" w:cs="Times New Roman"/>
          <w:color w:val="FFFFFF" w:themeColor="background1"/>
          <w:sz w:val="28"/>
          <w:szCs w:val="28"/>
          <w:highlight w:val="blue"/>
        </w:rPr>
        <w:t>Local resources and personnel for curbing the effects of polypharmacy.</w:t>
      </w:r>
    </w:p>
    <w:p w:rsidR="003B4176" w:rsidRPr="00D01235" w:rsidRDefault="003B4176" w:rsidP="003B4176">
      <w:pPr>
        <w:jc w:val="center"/>
        <w:rPr>
          <w:b/>
          <w:sz w:val="24"/>
          <w:szCs w:val="24"/>
        </w:rPr>
      </w:pPr>
      <w:r w:rsidRPr="00D01235">
        <w:rPr>
          <w:b/>
          <w:sz w:val="24"/>
          <w:szCs w:val="24"/>
        </w:rPr>
        <w:t>Resources.</w:t>
      </w:r>
    </w:p>
    <w:p w:rsidR="003B4176" w:rsidRPr="003B4176" w:rsidRDefault="003B4176" w:rsidP="003B41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D01235">
        <w:rPr>
          <w:rFonts w:ascii="Times New Roman" w:hAnsi="Times New Roman" w:cs="Times New Roman"/>
          <w:sz w:val="24"/>
          <w:szCs w:val="24"/>
        </w:rPr>
        <w:t xml:space="preserve">Elderly and sick </w:t>
      </w:r>
      <w:r w:rsidRPr="003B4176">
        <w:rPr>
          <w:rFonts w:ascii="Times New Roman" w:hAnsi="Times New Roman" w:cs="Times New Roman"/>
          <w:sz w:val="28"/>
          <w:szCs w:val="28"/>
        </w:rPr>
        <w:t>care centers.</w:t>
      </w:r>
    </w:p>
    <w:p w:rsidR="003B4176" w:rsidRPr="003B4176" w:rsidRDefault="003B4176" w:rsidP="003B41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lastRenderedPageBreak/>
        <w:t>Rehabilitation centers.</w:t>
      </w:r>
    </w:p>
    <w:p w:rsidR="003B4176" w:rsidRPr="003B4176" w:rsidRDefault="003B4176" w:rsidP="003B41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t>Clinics.</w:t>
      </w:r>
    </w:p>
    <w:p w:rsidR="003B4176" w:rsidRPr="003B4176" w:rsidRDefault="003B4176" w:rsidP="003B4176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t>Pharmacies.</w:t>
      </w:r>
    </w:p>
    <w:p w:rsidR="003B4176" w:rsidRPr="003B4176" w:rsidRDefault="003B4176" w:rsidP="003B4176">
      <w:pPr>
        <w:jc w:val="center"/>
        <w:rPr>
          <w:rFonts w:ascii="Times New Roman" w:hAnsi="Times New Roman" w:cs="Times New Roman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t>Personnel.</w:t>
      </w:r>
    </w:p>
    <w:p w:rsidR="003B4176" w:rsidRPr="003B4176" w:rsidRDefault="003B4176" w:rsidP="003B417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t>Pharmacists.</w:t>
      </w:r>
    </w:p>
    <w:p w:rsidR="003B4176" w:rsidRPr="003B4176" w:rsidRDefault="003B4176" w:rsidP="003B4176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t>Doctors.</w:t>
      </w:r>
    </w:p>
    <w:p w:rsidR="005146FA" w:rsidRPr="003B4176" w:rsidRDefault="003B4176" w:rsidP="003B4176">
      <w:pPr>
        <w:pStyle w:val="ListParagraph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B4176">
        <w:rPr>
          <w:rFonts w:ascii="Times New Roman" w:hAnsi="Times New Roman" w:cs="Times New Roman"/>
          <w:sz w:val="28"/>
          <w:szCs w:val="28"/>
        </w:rPr>
        <w:t>Health workers such as nurses.</w:t>
      </w:r>
    </w:p>
    <w:p w:rsidR="005146FA" w:rsidRPr="003B4176" w:rsidRDefault="005146FA" w:rsidP="005146FA">
      <w:pPr>
        <w:pStyle w:val="ListParagrap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5146FA" w:rsidRPr="003B4176" w:rsidRDefault="005146FA" w:rsidP="005146FA">
      <w:pPr>
        <w:pStyle w:val="ListParagrap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B74C6A" w:rsidRPr="003B4176" w:rsidRDefault="00B74C6A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:rsidR="00B74C6A" w:rsidRPr="003B4176" w:rsidRDefault="00B74C6A">
      <w:pPr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3B4176">
        <w:rPr>
          <w:rFonts w:ascii="Times New Roman" w:hAnsi="Times New Roman" w:cs="Times New Roman"/>
          <w:color w:val="FFFFFF" w:themeColor="background1"/>
          <w:sz w:val="28"/>
          <w:szCs w:val="28"/>
        </w:rPr>
        <w:br w:type="page"/>
      </w:r>
    </w:p>
    <w:p w:rsidR="00B74C6A" w:rsidRDefault="00B74C6A"/>
    <w:p w:rsidR="003B4176" w:rsidRDefault="003B4176"/>
    <w:p w:rsidR="003B4176" w:rsidRPr="003B4176" w:rsidRDefault="003B4176">
      <w:pPr>
        <w:rPr>
          <w:rFonts w:ascii="Times New Roman" w:hAnsi="Times New Roman" w:cs="Times New Roman"/>
          <w:sz w:val="24"/>
          <w:szCs w:val="24"/>
        </w:rPr>
      </w:pPr>
      <w:r w:rsidRPr="003B4176">
        <w:rPr>
          <w:rFonts w:ascii="Times New Roman" w:hAnsi="Times New Roman" w:cs="Times New Roman"/>
          <w:sz w:val="24"/>
          <w:szCs w:val="24"/>
        </w:rPr>
        <w:t>References.</w:t>
      </w:r>
    </w:p>
    <w:p w:rsidR="003B4176" w:rsidRPr="003B4176" w:rsidRDefault="003B4176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Charlesworth, C. J., Smit, E., Lee, D. S., Alramadhan, F., &amp; Odden, M. C. (2015). Polypharmacy among adults aged 65 years and older in the United States: 1988–2010. </w:t>
      </w:r>
      <w:r w:rsidRPr="003B41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Journals of Gerontology Series A: Biomedical Sciences and Medical Sciences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B41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70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(8), 989-995.</w:t>
      </w:r>
    </w:p>
    <w:p w:rsidR="003B4176" w:rsidRPr="003B4176" w:rsidRDefault="003B4176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Hajjar, E. R., Cafie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ro, A. C., &amp; Hanlon, J. T. (2016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Polypharmacy in elderly patients. </w:t>
      </w:r>
      <w:r w:rsidRPr="003B41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American journal of geriatric pharmacotherapy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B41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5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(4), 345-351. </w:t>
      </w:r>
    </w:p>
    <w:p w:rsidR="003B4176" w:rsidRPr="003B4176" w:rsidRDefault="003B4176">
      <w:pP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Hi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lmer, S. N., &amp; Gnjidic, D. (2016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). The effects of polypharmacy in older adults. </w:t>
      </w:r>
      <w:r w:rsidRPr="003B41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Clinical Pharmacology &amp; Therapeutics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3B4176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85</w:t>
      </w:r>
      <w:r w:rsidRPr="003B417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86-88.</w:t>
      </w:r>
    </w:p>
    <w:p w:rsidR="003B4176" w:rsidRPr="003B4176" w:rsidRDefault="003B4176">
      <w:pPr>
        <w:rPr>
          <w:rFonts w:ascii="Times New Roman" w:hAnsi="Times New Roman" w:cs="Times New Roman"/>
          <w:sz w:val="24"/>
          <w:szCs w:val="24"/>
        </w:rPr>
      </w:pPr>
    </w:p>
    <w:sectPr w:rsidR="003B4176" w:rsidRPr="003B4176" w:rsidSect="00D01235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num="3"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525C" w:rsidRDefault="006D525C" w:rsidP="00B74C6A">
      <w:pPr>
        <w:spacing w:after="0" w:line="240" w:lineRule="auto"/>
      </w:pPr>
      <w:r>
        <w:separator/>
      </w:r>
    </w:p>
  </w:endnote>
  <w:endnote w:type="continuationSeparator" w:id="1">
    <w:p w:rsidR="006D525C" w:rsidRDefault="006D525C" w:rsidP="00B74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525C" w:rsidRDefault="006D525C" w:rsidP="00B74C6A">
      <w:pPr>
        <w:spacing w:after="0" w:line="240" w:lineRule="auto"/>
      </w:pPr>
      <w:r>
        <w:separator/>
      </w:r>
    </w:p>
  </w:footnote>
  <w:footnote w:type="continuationSeparator" w:id="1">
    <w:p w:rsidR="006D525C" w:rsidRDefault="006D525C" w:rsidP="00B74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235" w:rsidRDefault="00D01235">
    <w:pPr>
      <w:pStyle w:val="Header"/>
    </w:pPr>
    <w:r w:rsidRPr="00D01235">
      <w:rPr>
        <w:rFonts w:ascii="Times New Roman" w:hAnsi="Times New Roman" w:cs="Times New Roman"/>
        <w:sz w:val="24"/>
        <w:szCs w:val="24"/>
      </w:rPr>
      <w:t xml:space="preserve">PREVENTING POLYPHARMACY IN OLDER ADULTS.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</w:t>
    </w:r>
    <w:r w:rsidR="0082793C" w:rsidRPr="00D01235">
      <w:rPr>
        <w:rFonts w:ascii="Times New Roman" w:hAnsi="Times New Roman" w:cs="Times New Roman"/>
        <w:sz w:val="24"/>
        <w:szCs w:val="24"/>
      </w:rPr>
      <w:fldChar w:fldCharType="begin"/>
    </w:r>
    <w:r w:rsidRPr="00D0123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2793C" w:rsidRPr="00D01235">
      <w:rPr>
        <w:rFonts w:ascii="Times New Roman" w:hAnsi="Times New Roman" w:cs="Times New Roman"/>
        <w:sz w:val="24"/>
        <w:szCs w:val="24"/>
      </w:rPr>
      <w:fldChar w:fldCharType="separate"/>
    </w:r>
    <w:r w:rsidR="0026234B">
      <w:rPr>
        <w:rFonts w:ascii="Times New Roman" w:hAnsi="Times New Roman" w:cs="Times New Roman"/>
        <w:noProof/>
        <w:sz w:val="24"/>
        <w:szCs w:val="24"/>
      </w:rPr>
      <w:t>4</w:t>
    </w:r>
    <w:r w:rsidR="0082793C" w:rsidRPr="00D01235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4031" w:rsidRPr="00D01235" w:rsidRDefault="00D01235" w:rsidP="00D01235">
    <w:pPr>
      <w:spacing w:line="480" w:lineRule="auto"/>
      <w:rPr>
        <w:rFonts w:ascii="Times New Roman" w:hAnsi="Times New Roman" w:cs="Times New Roman"/>
        <w:sz w:val="24"/>
        <w:szCs w:val="24"/>
      </w:rPr>
    </w:pPr>
    <w:r w:rsidRPr="00D01235">
      <w:rPr>
        <w:rFonts w:ascii="Times New Roman" w:hAnsi="Times New Roman" w:cs="Times New Roman"/>
        <w:sz w:val="24"/>
        <w:szCs w:val="24"/>
      </w:rPr>
      <w:t xml:space="preserve">Running Head: PREVENTING POLYPHARMACY IN OLDER ADULTS.  </w:t>
    </w:r>
    <w:r>
      <w:rPr>
        <w:rFonts w:ascii="Times New Roman" w:hAnsi="Times New Roman" w:cs="Times New Roman"/>
        <w:sz w:val="24"/>
        <w:szCs w:val="24"/>
      </w:rPr>
      <w:t xml:space="preserve">                              </w:t>
    </w:r>
    <w:r w:rsidR="0082793C" w:rsidRPr="00D01235">
      <w:rPr>
        <w:rFonts w:ascii="Times New Roman" w:hAnsi="Times New Roman" w:cs="Times New Roman"/>
        <w:sz w:val="24"/>
        <w:szCs w:val="24"/>
      </w:rPr>
      <w:fldChar w:fldCharType="begin"/>
    </w:r>
    <w:r w:rsidRPr="00D0123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82793C" w:rsidRPr="00D01235">
      <w:rPr>
        <w:rFonts w:ascii="Times New Roman" w:hAnsi="Times New Roman" w:cs="Times New Roman"/>
        <w:sz w:val="24"/>
        <w:szCs w:val="24"/>
      </w:rPr>
      <w:fldChar w:fldCharType="separate"/>
    </w:r>
    <w:r w:rsidR="0026234B">
      <w:rPr>
        <w:rFonts w:ascii="Times New Roman" w:hAnsi="Times New Roman" w:cs="Times New Roman"/>
        <w:noProof/>
        <w:sz w:val="24"/>
        <w:szCs w:val="24"/>
      </w:rPr>
      <w:t>1</w:t>
    </w:r>
    <w:r w:rsidR="0082793C" w:rsidRPr="00D01235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40" type="#_x0000_t75" style="width:11.25pt;height:11.25pt" o:bullet="t">
        <v:imagedata r:id="rId1" o:title="mso73F8"/>
      </v:shape>
    </w:pict>
  </w:numPicBullet>
  <w:abstractNum w:abstractNumId="0">
    <w:nsid w:val="05E146D3"/>
    <w:multiLevelType w:val="hybridMultilevel"/>
    <w:tmpl w:val="A23EC7B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6A1734"/>
    <w:multiLevelType w:val="hybridMultilevel"/>
    <w:tmpl w:val="B10E008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227CF"/>
    <w:multiLevelType w:val="hybridMultilevel"/>
    <w:tmpl w:val="B61001F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5DD11F8"/>
    <w:multiLevelType w:val="hybridMultilevel"/>
    <w:tmpl w:val="F23C98B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74C6A"/>
    <w:rsid w:val="00155B08"/>
    <w:rsid w:val="002263B7"/>
    <w:rsid w:val="0026234B"/>
    <w:rsid w:val="003B4176"/>
    <w:rsid w:val="004368F4"/>
    <w:rsid w:val="005146FA"/>
    <w:rsid w:val="00564031"/>
    <w:rsid w:val="006D525C"/>
    <w:rsid w:val="0082793C"/>
    <w:rsid w:val="00B74C6A"/>
    <w:rsid w:val="00D01235"/>
    <w:rsid w:val="00D41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2415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B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B74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4C6A"/>
  </w:style>
  <w:style w:type="paragraph" w:styleId="Footer">
    <w:name w:val="footer"/>
    <w:basedOn w:val="Normal"/>
    <w:link w:val="FooterChar"/>
    <w:uiPriority w:val="99"/>
    <w:semiHidden/>
    <w:unhideWhenUsed/>
    <w:rsid w:val="00B74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74C6A"/>
  </w:style>
  <w:style w:type="paragraph" w:styleId="BalloonText">
    <w:name w:val="Balloon Text"/>
    <w:basedOn w:val="Normal"/>
    <w:link w:val="BalloonTextChar"/>
    <w:uiPriority w:val="99"/>
    <w:semiHidden/>
    <w:unhideWhenUsed/>
    <w:rsid w:val="004368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68F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146F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2</cp:revision>
  <dcterms:created xsi:type="dcterms:W3CDTF">2018-02-22T20:31:00Z</dcterms:created>
  <dcterms:modified xsi:type="dcterms:W3CDTF">2018-02-22T21:44:00Z</dcterms:modified>
</cp:coreProperties>
</file>